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08AB2" w14:textId="472D96C1" w:rsidR="001433DE" w:rsidRDefault="00BD5B5A" w:rsidP="00BD5B5A">
      <w:pPr>
        <w:spacing w:after="0" w:line="480" w:lineRule="auto"/>
        <w:ind w:right="566"/>
        <w:jc w:val="center"/>
        <w:rPr>
          <w:rFonts w:ascii="Times New Roman" w:eastAsia="Times New Roman" w:hAnsi="Times New Roman" w:cs="Times New Roman"/>
          <w:b/>
          <w:sz w:val="26"/>
          <w:szCs w:val="26"/>
        </w:rPr>
      </w:pPr>
      <w:r w:rsidRPr="00BD5B5A">
        <w:rPr>
          <w:rFonts w:ascii="Times New Roman" w:eastAsia="Times New Roman" w:hAnsi="Times New Roman" w:cs="Times New Roman"/>
          <w:b/>
          <w:sz w:val="26"/>
          <w:szCs w:val="26"/>
        </w:rPr>
        <w:t>Increasing Taba Terunjam Village Community Participation in Village Development Meeting Activities</w:t>
      </w:r>
    </w:p>
    <w:p w14:paraId="0E12561D" w14:textId="23ACB9E6" w:rsidR="00BD5B5A" w:rsidRPr="00BD5B5A" w:rsidRDefault="00BD5B5A" w:rsidP="00BD5B5A">
      <w:pPr>
        <w:spacing w:after="0" w:line="480" w:lineRule="auto"/>
        <w:jc w:val="center"/>
        <w:rPr>
          <w:rFonts w:ascii="Times New Roman" w:eastAsia="Times New Roman" w:hAnsi="Times New Roman" w:cs="Times New Roman"/>
        </w:rPr>
      </w:pPr>
      <w:bookmarkStart w:id="0" w:name="bookmark=id.30j0zll" w:colFirst="0" w:colLast="0"/>
      <w:bookmarkEnd w:id="0"/>
      <w:r w:rsidRPr="00BD5B5A">
        <w:rPr>
          <w:rFonts w:ascii="Times New Roman" w:eastAsia="Times New Roman" w:hAnsi="Times New Roman" w:cs="Times New Roman"/>
        </w:rPr>
        <w:t>Evi Lorita</w:t>
      </w:r>
      <w:r>
        <w:rPr>
          <w:rFonts w:ascii="Times New Roman" w:eastAsia="Times New Roman" w:hAnsi="Times New Roman" w:cs="Times New Roman"/>
          <w:vertAlign w:val="superscript"/>
        </w:rPr>
        <w:t>1</w:t>
      </w:r>
      <w:r>
        <w:rPr>
          <w:rFonts w:ascii="Times New Roman" w:eastAsia="Times New Roman" w:hAnsi="Times New Roman" w:cs="Times New Roman"/>
        </w:rPr>
        <w:t>,</w:t>
      </w:r>
      <w:r w:rsidRPr="00BD5B5A">
        <w:rPr>
          <w:rFonts w:ascii="Times New Roman" w:eastAsia="Times New Roman" w:hAnsi="Times New Roman" w:cs="Times New Roman"/>
        </w:rPr>
        <w:t xml:space="preserve"> Bando Amin C. Kader</w:t>
      </w:r>
      <w:r w:rsidR="00FD4300">
        <w:rPr>
          <w:rFonts w:ascii="Times New Roman" w:eastAsia="Times New Roman" w:hAnsi="Times New Roman" w:cs="Times New Roman"/>
        </w:rPr>
        <w:t xml:space="preserve"> </w:t>
      </w:r>
      <w:r w:rsidRPr="00BD5B5A">
        <w:rPr>
          <w:rFonts w:ascii="Times New Roman" w:eastAsia="Times New Roman" w:hAnsi="Times New Roman" w:cs="Times New Roman"/>
          <w:vertAlign w:val="superscript"/>
        </w:rPr>
        <w:t>2</w:t>
      </w:r>
      <w:r>
        <w:rPr>
          <w:rFonts w:ascii="Times New Roman" w:eastAsia="Times New Roman" w:hAnsi="Times New Roman" w:cs="Times New Roman"/>
        </w:rPr>
        <w:t>,</w:t>
      </w:r>
      <w:r w:rsidRPr="00BD5B5A">
        <w:rPr>
          <w:rFonts w:ascii="Times New Roman" w:eastAsia="Times New Roman" w:hAnsi="Times New Roman" w:cs="Times New Roman"/>
        </w:rPr>
        <w:t xml:space="preserve"> Marida Sari Ningsih</w:t>
      </w:r>
      <w:r w:rsidRPr="00BD5B5A">
        <w:rPr>
          <w:rFonts w:ascii="Times New Roman" w:eastAsia="Times New Roman" w:hAnsi="Times New Roman" w:cs="Times New Roman"/>
          <w:vertAlign w:val="superscript"/>
        </w:rPr>
        <w:t>3</w:t>
      </w:r>
      <w:r>
        <w:rPr>
          <w:rFonts w:ascii="Times New Roman" w:eastAsia="Times New Roman" w:hAnsi="Times New Roman" w:cs="Times New Roman"/>
        </w:rPr>
        <w:t xml:space="preserve">, </w:t>
      </w:r>
      <w:r w:rsidRPr="00BD5B5A">
        <w:rPr>
          <w:rFonts w:ascii="Times New Roman" w:eastAsia="Times New Roman" w:hAnsi="Times New Roman" w:cs="Times New Roman"/>
        </w:rPr>
        <w:t>Antonio Imanda</w:t>
      </w:r>
      <w:r w:rsidRPr="00BD5B5A">
        <w:rPr>
          <w:rFonts w:ascii="Times New Roman" w:eastAsia="Times New Roman" w:hAnsi="Times New Roman" w:cs="Times New Roman"/>
          <w:vertAlign w:val="superscript"/>
        </w:rPr>
        <w:t>4</w:t>
      </w:r>
      <w:r>
        <w:rPr>
          <w:rFonts w:ascii="Times New Roman" w:eastAsia="Times New Roman" w:hAnsi="Times New Roman" w:cs="Times New Roman"/>
        </w:rPr>
        <w:t xml:space="preserve">, </w:t>
      </w:r>
      <w:r w:rsidRPr="00BD5B5A">
        <w:rPr>
          <w:rFonts w:ascii="Times New Roman" w:eastAsia="Times New Roman" w:hAnsi="Times New Roman" w:cs="Times New Roman"/>
        </w:rPr>
        <w:t>Yusuarsono</w:t>
      </w:r>
      <w:r w:rsidRPr="00BD5B5A">
        <w:rPr>
          <w:rFonts w:ascii="Times New Roman" w:eastAsia="Times New Roman" w:hAnsi="Times New Roman" w:cs="Times New Roman"/>
          <w:vertAlign w:val="superscript"/>
        </w:rPr>
        <w:t>5</w:t>
      </w:r>
      <w:r>
        <w:rPr>
          <w:rFonts w:ascii="Times New Roman" w:eastAsia="Times New Roman" w:hAnsi="Times New Roman" w:cs="Times New Roman"/>
        </w:rPr>
        <w:t xml:space="preserve">, </w:t>
      </w:r>
    </w:p>
    <w:p w14:paraId="06D63B11" w14:textId="05BEC924" w:rsidR="001433DE" w:rsidRDefault="00BD5B5A" w:rsidP="00BD5B5A">
      <w:pPr>
        <w:spacing w:after="0" w:line="480" w:lineRule="auto"/>
        <w:jc w:val="center"/>
        <w:rPr>
          <w:rFonts w:ascii="Times New Roman" w:eastAsia="Times New Roman" w:hAnsi="Times New Roman" w:cs="Times New Roman"/>
          <w:sz w:val="18"/>
          <w:szCs w:val="18"/>
          <w:vertAlign w:val="superscript"/>
        </w:rPr>
      </w:pPr>
      <w:r w:rsidRPr="00BD5B5A">
        <w:rPr>
          <w:rFonts w:ascii="Times New Roman" w:eastAsia="Times New Roman" w:hAnsi="Times New Roman" w:cs="Times New Roman"/>
        </w:rPr>
        <w:t>Tuti Handayani</w:t>
      </w:r>
      <w:r w:rsidRPr="00BD5B5A">
        <w:rPr>
          <w:rFonts w:ascii="Times New Roman" w:eastAsia="Times New Roman" w:hAnsi="Times New Roman" w:cs="Times New Roman"/>
          <w:vertAlign w:val="superscript"/>
        </w:rPr>
        <w:t>6</w:t>
      </w:r>
      <w:r>
        <w:rPr>
          <w:rFonts w:ascii="Times New Roman" w:eastAsia="Times New Roman" w:hAnsi="Times New Roman" w:cs="Times New Roman"/>
        </w:rPr>
        <w:t>,</w:t>
      </w:r>
      <w:r w:rsidRPr="00BD5B5A">
        <w:rPr>
          <w:rFonts w:ascii="Times New Roman" w:eastAsia="Times New Roman" w:hAnsi="Times New Roman" w:cs="Times New Roman"/>
        </w:rPr>
        <w:t xml:space="preserve"> Hardand</w:t>
      </w:r>
      <w:r w:rsidRPr="00BD5B5A">
        <w:rPr>
          <w:rFonts w:ascii="Times New Roman" w:eastAsia="Times New Roman" w:hAnsi="Times New Roman" w:cs="Times New Roman"/>
          <w:vertAlign w:val="superscript"/>
        </w:rPr>
        <w:t>7</w:t>
      </w:r>
    </w:p>
    <w:p w14:paraId="4B28E91C" w14:textId="7B8AFC6C" w:rsidR="00BD5B5A" w:rsidRPr="00BD5B5A" w:rsidRDefault="00000000" w:rsidP="00BD5B5A">
      <w:pPr>
        <w:spacing w:after="0" w:line="360" w:lineRule="auto"/>
        <w:jc w:val="center"/>
        <w:rPr>
          <w:rFonts w:ascii="Times New Roman" w:eastAsia="Times New Roman" w:hAnsi="Times New Roman" w:cs="Times New Roman"/>
          <w:sz w:val="18"/>
          <w:szCs w:val="18"/>
        </w:rPr>
      </w:pPr>
      <w:bookmarkStart w:id="1" w:name="bookmark=id.1fob9te" w:colFirst="0" w:colLast="0"/>
      <w:bookmarkEnd w:id="1"/>
      <w:r>
        <w:rPr>
          <w:rFonts w:ascii="Times New Roman" w:eastAsia="Times New Roman" w:hAnsi="Times New Roman" w:cs="Times New Roman"/>
          <w:sz w:val="18"/>
          <w:szCs w:val="18"/>
          <w:vertAlign w:val="superscript"/>
        </w:rPr>
        <w:t> 1</w:t>
      </w:r>
      <w:r w:rsidR="00BD5B5A">
        <w:rPr>
          <w:rFonts w:ascii="Times New Roman" w:eastAsia="Times New Roman" w:hAnsi="Times New Roman" w:cs="Times New Roman"/>
          <w:sz w:val="18"/>
          <w:szCs w:val="18"/>
          <w:vertAlign w:val="superscript"/>
        </w:rPr>
        <w:t xml:space="preserve">,2,3,4,5,6,7)  </w:t>
      </w:r>
      <w:r w:rsidR="00BD5B5A">
        <w:rPr>
          <w:rFonts w:ascii="Times New Roman" w:eastAsia="Times New Roman" w:hAnsi="Times New Roman" w:cs="Times New Roman"/>
          <w:sz w:val="18"/>
          <w:szCs w:val="18"/>
        </w:rPr>
        <w:t>Universitas Dehasen Bengkulu</w:t>
      </w:r>
      <w:r w:rsidR="00FD4300">
        <w:rPr>
          <w:rFonts w:ascii="Times New Roman" w:eastAsia="Times New Roman" w:hAnsi="Times New Roman" w:cs="Times New Roman"/>
          <w:sz w:val="18"/>
          <w:szCs w:val="18"/>
        </w:rPr>
        <w:t xml:space="preserve"> </w:t>
      </w:r>
    </w:p>
    <w:p w14:paraId="3A4D6471" w14:textId="77777777" w:rsidR="00CF096F" w:rsidRPr="00CF096F" w:rsidRDefault="00000000" w:rsidP="00CF096F">
      <w:pPr>
        <w:spacing w:after="0" w:line="276" w:lineRule="auto"/>
        <w:ind w:left="709" w:right="707"/>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Abstract</w:t>
      </w:r>
      <w:r>
        <w:rPr>
          <w:rFonts w:ascii="Times New Roman" w:eastAsia="Times New Roman" w:hAnsi="Times New Roman" w:cs="Times New Roman"/>
          <w:sz w:val="18"/>
          <w:szCs w:val="18"/>
        </w:rPr>
        <w:t xml:space="preserve">. </w:t>
      </w:r>
      <w:bookmarkStart w:id="2" w:name="bookmark=id.2et92p0" w:colFirst="0" w:colLast="0"/>
      <w:bookmarkEnd w:id="2"/>
      <w:r w:rsidR="00CF096F" w:rsidRPr="00CF096F">
        <w:rPr>
          <w:rFonts w:ascii="Times New Roman" w:eastAsia="Times New Roman" w:hAnsi="Times New Roman" w:cs="Times New Roman"/>
          <w:sz w:val="18"/>
          <w:szCs w:val="18"/>
        </w:rPr>
        <w:t>This community service initiative was conducted with the primary aim of strengthening the solidarity of new university students as a foundational step toward developing their social awareness and strategic roles within society. Implemented through a structured gathering called Malam Keakraban (Makrab), the activity served not only as a ceremonial welcome but also as a platform for character education and instilling the values of the Tri Dharma of higher education. Students were introduced to four essential roles: agent of change, social control, iron stock, and moral force. The program employed interactive lectures, group discussions, and reflective sessions facilitated by lecturers from the Public Administration Department at Universitas Dehasen Bengkulu. Results indicated that participants gained a deeper understanding of their civic and moral responsibilities and the importance of contributing meaningfully to the community. The initiative fostered leadership, empathy, and a sense of accountability among new students. It also provided a replicable model for other higher education institutions seeking to integrate social engagement into student orientation.</w:t>
      </w:r>
    </w:p>
    <w:p w14:paraId="1985A663" w14:textId="77777777" w:rsidR="001433DE" w:rsidRDefault="001433DE">
      <w:pPr>
        <w:spacing w:after="0" w:line="276" w:lineRule="auto"/>
        <w:ind w:left="709" w:right="707"/>
        <w:jc w:val="both"/>
        <w:rPr>
          <w:rFonts w:ascii="Times New Roman" w:eastAsia="Times New Roman" w:hAnsi="Times New Roman" w:cs="Times New Roman"/>
        </w:rPr>
      </w:pPr>
    </w:p>
    <w:p w14:paraId="374CD917" w14:textId="1368D74E" w:rsidR="001433DE" w:rsidRDefault="00000000">
      <w:pPr>
        <w:spacing w:after="0" w:line="276" w:lineRule="auto"/>
        <w:ind w:left="709" w:right="707"/>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Keywords</w:t>
      </w:r>
      <w:r>
        <w:rPr>
          <w:rFonts w:ascii="Times New Roman" w:eastAsia="Times New Roman" w:hAnsi="Times New Roman" w:cs="Times New Roman"/>
          <w:sz w:val="18"/>
          <w:szCs w:val="18"/>
        </w:rPr>
        <w:t xml:space="preserve">:  </w:t>
      </w:r>
      <w:bookmarkStart w:id="3" w:name="bookmark=id.tyjcwt" w:colFirst="0" w:colLast="0"/>
      <w:bookmarkEnd w:id="3"/>
      <w:r w:rsidR="00CF096F" w:rsidRPr="00CF096F">
        <w:rPr>
          <w:rFonts w:ascii="Times New Roman" w:eastAsia="Times New Roman" w:hAnsi="Times New Roman" w:cs="Times New Roman"/>
          <w:sz w:val="18"/>
          <w:szCs w:val="18"/>
        </w:rPr>
        <w:t>Solidarity, New Students, Social Role, Community Service, Student Leadership</w:t>
      </w:r>
    </w:p>
    <w:p w14:paraId="1A3118E1" w14:textId="77777777" w:rsidR="001433DE" w:rsidRDefault="001433DE">
      <w:pPr>
        <w:spacing w:after="0" w:line="480" w:lineRule="auto"/>
        <w:jc w:val="both"/>
        <w:rPr>
          <w:rFonts w:ascii="Times New Roman" w:eastAsia="Times New Roman" w:hAnsi="Times New Roman" w:cs="Times New Roman"/>
        </w:rPr>
      </w:pPr>
    </w:p>
    <w:p w14:paraId="19AF9D45" w14:textId="77777777" w:rsidR="001433DE" w:rsidRDefault="001433DE">
      <w:pPr>
        <w:spacing w:after="0" w:line="480" w:lineRule="auto"/>
        <w:jc w:val="both"/>
        <w:rPr>
          <w:rFonts w:ascii="Times New Roman" w:eastAsia="Times New Roman" w:hAnsi="Times New Roman" w:cs="Times New Roman"/>
          <w:b/>
          <w:sz w:val="20"/>
          <w:szCs w:val="20"/>
        </w:rPr>
        <w:sectPr w:rsidR="001433DE">
          <w:headerReference w:type="default" r:id="rId8"/>
          <w:footerReference w:type="default" r:id="rId9"/>
          <w:pgSz w:w="11906" w:h="16838"/>
          <w:pgMar w:top="1701" w:right="1416" w:bottom="1701" w:left="1701" w:header="709" w:footer="850" w:gutter="0"/>
          <w:pgNumType w:start="1"/>
          <w:cols w:space="720"/>
        </w:sectPr>
      </w:pPr>
    </w:p>
    <w:p w14:paraId="01312B13" w14:textId="77777777" w:rsidR="001433DE" w:rsidRDefault="00000000" w:rsidP="00BD5B5A">
      <w:pPr>
        <w:numPr>
          <w:ilvl w:val="0"/>
          <w:numId w:val="3"/>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Introduction</w:t>
      </w:r>
    </w:p>
    <w:p w14:paraId="3D24AF26" w14:textId="77777777" w:rsidR="00BD5B5A" w:rsidRPr="00BD5B5A" w:rsidRDefault="00BD5B5A" w:rsidP="00BD5B5A">
      <w:pPr>
        <w:spacing w:after="0" w:line="276" w:lineRule="auto"/>
        <w:ind w:firstLine="567"/>
        <w:jc w:val="both"/>
        <w:rPr>
          <w:rFonts w:ascii="Times New Roman" w:eastAsia="Times New Roman" w:hAnsi="Times New Roman" w:cs="Times New Roman"/>
        </w:rPr>
      </w:pPr>
      <w:r w:rsidRPr="00BD5B5A">
        <w:rPr>
          <w:rFonts w:ascii="Times New Roman" w:eastAsia="Times New Roman" w:hAnsi="Times New Roman" w:cs="Times New Roman"/>
        </w:rPr>
        <w:t>Taba Terunjam Village is an administrative area located in Karang Tinggi Sub-district, Bengkulu Tengah Regency, with a population of approximately 1,022 people. Most of the community relies on the agricultural sector, particularly agriculture and plantations. Despite the potential of its natural resources, community involvement in village development decision-making, particularly through the Village Development Consultative Forum (Musrenbangdes), still shows a low level of participation. Field data shows that the attendance rate of residents in the deliberation activities does not exceed 30% of the total invitations, and active involvement in development discussions is still dominated by village elites, such as village officials and local community leaders (Mustanir, 2017).</w:t>
      </w:r>
    </w:p>
    <w:p w14:paraId="43601919" w14:textId="77777777" w:rsidR="00BD5B5A" w:rsidRPr="00BD5B5A" w:rsidRDefault="00BD5B5A" w:rsidP="00BD5B5A">
      <w:pPr>
        <w:spacing w:after="0" w:line="276" w:lineRule="auto"/>
        <w:ind w:firstLine="567"/>
        <w:jc w:val="both"/>
        <w:rPr>
          <w:rFonts w:ascii="Times New Roman" w:eastAsia="Times New Roman" w:hAnsi="Times New Roman" w:cs="Times New Roman"/>
        </w:rPr>
      </w:pPr>
      <w:r w:rsidRPr="00BD5B5A">
        <w:rPr>
          <w:rFonts w:ascii="Times New Roman" w:eastAsia="Times New Roman" w:hAnsi="Times New Roman" w:cs="Times New Roman"/>
        </w:rPr>
        <w:t xml:space="preserve">This low participation is not merely a quantitative problem, but reflects more complex structural and cultural issues. Lack of access to information, low political literacy, and a culture of one-way communication from the village government to the community are the main factors that weaken the participatory basis of development. As noted by Dewi (2024), community participation in Musrenbangdes is often symbolic and ceremonial without resulting in substantive involvement in the formulation of village development policies. As a result, development tends not to be aligned with the real needs of the community and risks creating social inequality and non-inclusive policy-making. A number of community service activities conducted in various regions have shown that participatory education-based interventions can increase the level of attendance and involvement of citizens in village forums. Firman Perdana, Laksmono, Harto, and Ismandianto (2019) pointed out that a personal approach by activating community leaders as dialogue partners can increase the legitimacy of Musrenbangdes forums at the local level. However, strengthening the substance of community participation has not been touched upon, especially in relation to the courage of citizens </w:t>
      </w:r>
      <w:r w:rsidRPr="00BD5B5A">
        <w:rPr>
          <w:rFonts w:ascii="Times New Roman" w:eastAsia="Times New Roman" w:hAnsi="Times New Roman" w:cs="Times New Roman"/>
        </w:rPr>
        <w:lastRenderedPageBreak/>
        <w:t>in submitting proposals, the ability to articulate needs systematically, and the sustainability of post-deliberation involvement.</w:t>
      </w:r>
    </w:p>
    <w:p w14:paraId="58AFBB2F" w14:textId="77777777" w:rsidR="00BD5B5A" w:rsidRPr="00BD5B5A" w:rsidRDefault="00BD5B5A" w:rsidP="00BD5B5A">
      <w:pPr>
        <w:spacing w:after="0" w:line="276" w:lineRule="auto"/>
        <w:ind w:firstLine="567"/>
        <w:jc w:val="both"/>
        <w:rPr>
          <w:rFonts w:ascii="Times New Roman" w:eastAsia="Times New Roman" w:hAnsi="Times New Roman" w:cs="Times New Roman"/>
        </w:rPr>
      </w:pPr>
      <w:r w:rsidRPr="00BD5B5A">
        <w:rPr>
          <w:rFonts w:ascii="Times New Roman" w:eastAsia="Times New Roman" w:hAnsi="Times New Roman" w:cs="Times New Roman"/>
        </w:rPr>
        <w:t>Furthermore, Tahulending, Kaunang, and Sumampouw (2018) in their study in Sonsilo Village, West Likupang Sub-district, showed that involving youth groups in village meetings can be a strategic entry point in creating a more democratic dialogue space. However, these activities have not yet touched on social engineering and the application of appropriate technology that can be an instrument in organising and facilitating public discourse in a systematic and sustainable manner. Here lies an important gap that has not been responded to much in previous community service activities. Poespitohadi (2020) asserts that the importance of recontextualising village deliberation methods to be more adaptive to the development of information technology and contemporary social dynamics. However, this approach is still normative and has not been widely tested in community-based service practices. In other words, a strategy is needed that not only enhances the informative and educative aspects, but also transformative, encouraging changes in the mindset and behaviour of residents to become active actors in village development.</w:t>
      </w:r>
    </w:p>
    <w:p w14:paraId="3A222642" w14:textId="68ACD183" w:rsidR="001433DE" w:rsidRDefault="00BD5B5A" w:rsidP="00BD5B5A">
      <w:pPr>
        <w:spacing w:after="0" w:line="276" w:lineRule="auto"/>
        <w:ind w:firstLine="567"/>
        <w:jc w:val="both"/>
        <w:rPr>
          <w:rFonts w:ascii="Times New Roman" w:eastAsia="Times New Roman" w:hAnsi="Times New Roman" w:cs="Times New Roman"/>
        </w:rPr>
      </w:pPr>
      <w:r w:rsidRPr="00BD5B5A">
        <w:rPr>
          <w:rFonts w:ascii="Times New Roman" w:eastAsia="Times New Roman" w:hAnsi="Times New Roman" w:cs="Times New Roman"/>
        </w:rPr>
        <w:t>In line with this need, this Community Service activity (PKM) is designed as a participation- and education-based intervention that aims to increase the awareness, understanding, and capacity of the Taba Terunjam Village community in expressing their aspirations actively and constructively in the Musrenbangdes forum. The approach used prioritises interactive socialisation methods, focus group discussions, and the empowerment of local actors as facilitators of social change. This activity aims not only to increase the quantity of community attendance, but also to strengthen the quality of their involvement in a democratic, participatory and sustainable development planning process. Through this activity, it is hoped that a new, more dialogic relationship between the village government and the community can be established, as well as a deliberative culture that makes village meetings a representative and transformative space in determining the direction of development based on authentic local needs.</w:t>
      </w:r>
    </w:p>
    <w:p w14:paraId="76EF3CF7" w14:textId="77777777" w:rsidR="00BD5B5A" w:rsidRDefault="00BD5B5A" w:rsidP="00BD5B5A">
      <w:pPr>
        <w:spacing w:after="0" w:line="276" w:lineRule="auto"/>
        <w:ind w:firstLine="567"/>
        <w:jc w:val="both"/>
        <w:rPr>
          <w:rFonts w:ascii="Times New Roman" w:eastAsia="Times New Roman" w:hAnsi="Times New Roman" w:cs="Times New Roman"/>
          <w:color w:val="231F20"/>
        </w:rPr>
      </w:pPr>
    </w:p>
    <w:p w14:paraId="4B227A95" w14:textId="77777777" w:rsidR="001433DE" w:rsidRDefault="00000000">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231F20"/>
        </w:rPr>
      </w:pPr>
      <w:r>
        <w:rPr>
          <w:rFonts w:ascii="Times New Roman" w:eastAsia="Times New Roman" w:hAnsi="Times New Roman" w:cs="Times New Roman"/>
          <w:b/>
          <w:color w:val="231F20"/>
        </w:rPr>
        <w:t>Literature or conceptual review</w:t>
      </w:r>
    </w:p>
    <w:p w14:paraId="0709C176" w14:textId="77777777" w:rsidR="00BD5B5A" w:rsidRPr="00BD5B5A" w:rsidRDefault="00BD5B5A" w:rsidP="00BD5B5A">
      <w:pPr>
        <w:spacing w:after="0" w:line="276" w:lineRule="auto"/>
        <w:ind w:firstLine="567"/>
        <w:jc w:val="both"/>
        <w:rPr>
          <w:rFonts w:ascii="Times New Roman" w:eastAsia="Times New Roman" w:hAnsi="Times New Roman" w:cs="Times New Roman"/>
          <w:color w:val="231F20"/>
        </w:rPr>
      </w:pPr>
      <w:r w:rsidRPr="00BD5B5A">
        <w:rPr>
          <w:rFonts w:ascii="Times New Roman" w:eastAsia="Times New Roman" w:hAnsi="Times New Roman" w:cs="Times New Roman"/>
          <w:color w:val="231F20"/>
        </w:rPr>
        <w:t>Community participation is a key element in sustainable rural development. Cohen and Uphoff (1980) classify participation into four stages: decision-making, implementation, benefit utilization, and evaluation. In Indonesia, Law No. 6 of 2014 on Villages mandates active citizen involvement in development planning, particularly through Musrenbangdes (Village Development Planning Meetings).</w:t>
      </w:r>
    </w:p>
    <w:p w14:paraId="2E2343AE" w14:textId="77777777" w:rsidR="00BD5B5A" w:rsidRPr="00BD5B5A" w:rsidRDefault="00BD5B5A" w:rsidP="00BD5B5A">
      <w:pPr>
        <w:spacing w:after="0" w:line="276" w:lineRule="auto"/>
        <w:ind w:firstLine="567"/>
        <w:jc w:val="both"/>
        <w:rPr>
          <w:rFonts w:ascii="Times New Roman" w:eastAsia="Times New Roman" w:hAnsi="Times New Roman" w:cs="Times New Roman"/>
          <w:color w:val="231F20"/>
        </w:rPr>
      </w:pPr>
      <w:r w:rsidRPr="00BD5B5A">
        <w:rPr>
          <w:rFonts w:ascii="Times New Roman" w:eastAsia="Times New Roman" w:hAnsi="Times New Roman" w:cs="Times New Roman"/>
          <w:color w:val="231F20"/>
        </w:rPr>
        <w:t>Several factors influence participation, including education level, access to information, leadership transparency, and trust in local government (Suharto, 2005; Putnam, 1993). Communities with better access to information and strong local leadership are more likely to engage in development processes.</w:t>
      </w:r>
    </w:p>
    <w:p w14:paraId="27D97E1F" w14:textId="00DCDA5E" w:rsidR="001433DE" w:rsidRDefault="00BD5B5A" w:rsidP="00BD5B5A">
      <w:pPr>
        <w:spacing w:after="0" w:line="276" w:lineRule="auto"/>
        <w:ind w:firstLine="567"/>
        <w:jc w:val="both"/>
        <w:rPr>
          <w:rFonts w:ascii="Times New Roman" w:eastAsia="Times New Roman" w:hAnsi="Times New Roman" w:cs="Times New Roman"/>
          <w:color w:val="231F20"/>
        </w:rPr>
      </w:pPr>
      <w:r w:rsidRPr="00BD5B5A">
        <w:rPr>
          <w:rFonts w:ascii="Times New Roman" w:eastAsia="Times New Roman" w:hAnsi="Times New Roman" w:cs="Times New Roman"/>
          <w:color w:val="231F20"/>
        </w:rPr>
        <w:t>To increase participation, a participatory approach is essential. Chambers (1997) emphasized community-based development where locals are treated as key actors. Providing education, accessible information, and inclusive forums also helps empower marginalized groups, including women and youth (Sutrisno, 2018).Ultimately, successful village meetings depend not only on citizen willingness but also on how well village leaders facilitate inclusive and transparent discussions that lead to real follow-up actions.</w:t>
      </w:r>
    </w:p>
    <w:p w14:paraId="753BF955" w14:textId="77777777" w:rsidR="00D5252F" w:rsidRDefault="00D5252F" w:rsidP="00BD5B5A">
      <w:pPr>
        <w:spacing w:after="0" w:line="276" w:lineRule="auto"/>
        <w:ind w:firstLine="567"/>
        <w:jc w:val="both"/>
        <w:rPr>
          <w:rFonts w:ascii="Times New Roman" w:eastAsia="Times New Roman" w:hAnsi="Times New Roman" w:cs="Times New Roman"/>
          <w:color w:val="231F20"/>
        </w:rPr>
      </w:pPr>
    </w:p>
    <w:p w14:paraId="1B17F348" w14:textId="77777777" w:rsidR="00BD5B5A" w:rsidRDefault="00BD5B5A" w:rsidP="00BD5B5A">
      <w:pPr>
        <w:spacing w:after="0" w:line="276" w:lineRule="auto"/>
        <w:ind w:firstLine="567"/>
        <w:jc w:val="both"/>
        <w:rPr>
          <w:rFonts w:ascii="Times New Roman" w:eastAsia="Times New Roman" w:hAnsi="Times New Roman" w:cs="Times New Roman"/>
          <w:color w:val="231F20"/>
        </w:rPr>
      </w:pPr>
    </w:p>
    <w:p w14:paraId="5DC8300B" w14:textId="77777777" w:rsidR="001433DE" w:rsidRDefault="00000000">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Research design</w:t>
      </w:r>
    </w:p>
    <w:p w14:paraId="4B86FCAD" w14:textId="77777777" w:rsidR="00836279" w:rsidRPr="00836279" w:rsidRDefault="00836279" w:rsidP="00836279">
      <w:pPr>
        <w:spacing w:after="0" w:line="276" w:lineRule="auto"/>
        <w:ind w:firstLine="567"/>
        <w:jc w:val="both"/>
        <w:rPr>
          <w:rFonts w:ascii="Times New Roman" w:eastAsia="Times New Roman" w:hAnsi="Times New Roman" w:cs="Times New Roman"/>
          <w:color w:val="231F20"/>
        </w:rPr>
      </w:pPr>
      <w:bookmarkStart w:id="4" w:name="_heading=h.4d34og8" w:colFirst="0" w:colLast="0"/>
      <w:bookmarkEnd w:id="4"/>
      <w:r w:rsidRPr="00836279">
        <w:rPr>
          <w:rFonts w:ascii="Times New Roman" w:eastAsia="Times New Roman" w:hAnsi="Times New Roman" w:cs="Times New Roman"/>
          <w:color w:val="231F20"/>
        </w:rPr>
        <w:lastRenderedPageBreak/>
        <w:t>The method of implementing this Community Service activity is systematically designed to answer the problem of low participation of the Taba Terunjam Village community in the Village Development Consultation (Musrenbangdes) activities. This activity is carried out with an educative-participatory approach based on the principle of community empowerment through dialogue and active involvement, and is structured into four main stages: preparation stage, observation and situation analysis, implementation of core activities, and evaluation and follow-up.</w:t>
      </w:r>
    </w:p>
    <w:p w14:paraId="14985443" w14:textId="77777777" w:rsidR="00836279" w:rsidRPr="00836279"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The first stage is activity preparation, which includes internal coordination of the service team, preparation of work plans, and preparation of logistical equipment and communication media such as projectors, visual materials, and extension modules. At this stage, initial communication was also carried out with the village government as an implementation partner, as well as sending official invitations to activities. The purpose of this stage is to ensure that all technical and substantial needs of the activity are met so that the implementation can run effectively and on schedule.</w:t>
      </w:r>
    </w:p>
    <w:p w14:paraId="32E558E5" w14:textId="77777777" w:rsidR="00836279" w:rsidRPr="00836279"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Furthermore, the observation and situation analysis stage was carried out to obtain a more contextual understanding of the social conditions of the community and the practice of village deliberation that had been taking place. In this stage, the service team conducted informal interviews with several community leaders, village officials, and residents from groups that had been less involved, such as women and youth. The team also collected secondary data on the level of community attendance at previous Musrenbang and evaluated the communication structure and decision-making flow at the village level. This data is crucial for developing an approach to activities that is based on real local needs and challenges.</w:t>
      </w:r>
    </w:p>
    <w:p w14:paraId="5823743E" w14:textId="77777777" w:rsidR="00D5252F"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 xml:space="preserve">The third stage is the implementation of core activities through a series of activities such as interactive socialisation, focus group discussions (FGDs), and simulations of the Musrenbangdes implementation. In the socialisation, villagers are given an understanding of their rights and roles in the village development process, the importance of deliberation, and examples of good practices from other villages. Group discussions were used as a safe space for residents to express their aspirations, criticisms, and inputs openly, without pressure from officials or dominant figures. In addition, a simulation training was conducted to simulate the Musrenbang forum, with the aim of providing direct experience for residents in expressing opinions, formulating proposals, and making decisions together. The role of local community leaders was also strengthened by using them as dialogue facilitators to improve message acceptance and ensure post-activity sustainability.The fourth stage is evaluation and follow-up, which aims to measure the achievements of the activities and design sustainability strategies. </w:t>
      </w:r>
    </w:p>
    <w:p w14:paraId="6A12ED4B" w14:textId="0EBF3365" w:rsidR="00836279"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The evaluation was conducted through distributing questionnaires to participants, reflective discussions with village officials, and collecting feedback on the effectiveness of the methods used. The results of the evaluation were then formulated in the form of practical recommendations submitted to the village government to serve as a basis for improving the quality of village deliberations in the future. At this stage, a comprehensive activity report is also prepared as a form of academic and institutional accountability. The four stages are arranged in an integrated and interrelated manner, so that each activity carried out has a direct contribution to the achievement of the main objective of the activity, namely increasing the active participation of the Taba Terunjam Village community in the Musrenbangdes forum, both in terms of attendance and the quality of aspiration delivery and involvement in the village development decision-making process.</w:t>
      </w:r>
    </w:p>
    <w:p w14:paraId="0607F3B9" w14:textId="77777777" w:rsidR="00836279" w:rsidRDefault="00836279" w:rsidP="00836279">
      <w:pPr>
        <w:spacing w:after="0" w:line="276" w:lineRule="auto"/>
        <w:jc w:val="both"/>
        <w:rPr>
          <w:rFonts w:ascii="Times New Roman" w:eastAsia="Times New Roman" w:hAnsi="Times New Roman" w:cs="Times New Roman"/>
          <w:color w:val="231F20"/>
        </w:rPr>
      </w:pPr>
    </w:p>
    <w:p w14:paraId="5CF37471" w14:textId="77777777" w:rsidR="00D5252F" w:rsidRPr="00836279" w:rsidRDefault="00D5252F" w:rsidP="00836279">
      <w:pPr>
        <w:spacing w:after="0" w:line="276" w:lineRule="auto"/>
        <w:jc w:val="both"/>
        <w:rPr>
          <w:rFonts w:ascii="Times New Roman" w:eastAsia="Times New Roman" w:hAnsi="Times New Roman" w:cs="Times New Roman"/>
          <w:color w:val="231F20"/>
        </w:rPr>
      </w:pPr>
    </w:p>
    <w:p w14:paraId="78CEDF87" w14:textId="6F6ED9BC" w:rsidR="001433DE" w:rsidRPr="00836279" w:rsidRDefault="00000000" w:rsidP="00836279">
      <w:pPr>
        <w:pStyle w:val="ListParagraph"/>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sidRPr="00836279">
        <w:rPr>
          <w:rFonts w:ascii="Times New Roman" w:eastAsia="Times New Roman" w:hAnsi="Times New Roman" w:cs="Times New Roman"/>
          <w:b/>
          <w:color w:val="000000"/>
        </w:rPr>
        <w:t>Results</w:t>
      </w:r>
    </w:p>
    <w:p w14:paraId="03315C8E" w14:textId="02C6F643" w:rsidR="00836279" w:rsidRPr="00836279"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lastRenderedPageBreak/>
        <w:t>Community Service activities (PKM) with the theme ‘Increasing Community Participation in Taba Terunjam Village in Village Development Deliberations’ have been carried out in a structured and participatory manner on 2 June 2022 at the Taba Terunjam Village Office, Karang Tinggi District, Central Bengkulu Regency. This activity was initiated by a team of lecturers and students from the Public Administration Study Programme, Dehasen University Bengkulu, with the main objective of increasing active community involvement in the development planning process through the Musrenbangdes forum, which has tended to be dominated by structural village actors.</w:t>
      </w:r>
    </w:p>
    <w:p w14:paraId="2A188ED0" w14:textId="77777777" w:rsidR="00D5252F"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 xml:space="preserve">The implementation of the activity was preceded by field observations and initial coordination with the village government and local community leaders. From the initial observation, it was found that community participation in the previous Musrenbang tended to be low both quantitatively and qualitatively. The attendance rate was only around 20-30% of the total number of invitations, and most participants only attended symbolically without actively contributing to the forum. This indicates a limited understanding of participatory rights and the lack of a truly inclusive space for ordinary citizens to express their aspirations. </w:t>
      </w:r>
    </w:p>
    <w:p w14:paraId="17B877C6" w14:textId="04DCEA63" w:rsidR="00836279" w:rsidRPr="00836279"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The response to the PKM activities showed positive and transformative developments. Quantitatively, there was a significant spike in attendance: more than 60% of the invited residents attended the activities, indicating that the communication strategies used were able to mobilise wider community involvement. Information about the activities was conveyed not only through formal village government channels, but also through personal approaches by local community leaders, as well as oral information dissemination from house to house, which proved effective in reaching the elderly, women, and other marginalised groups.</w:t>
      </w:r>
    </w:p>
    <w:p w14:paraId="22BC12AE" w14:textId="77777777" w:rsidR="00D5252F"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 xml:space="preserve">Qualitatively, this activity resulted in a more important improvement, namely a shift in the pattern of interaction between residents and the village government. Through interactive socialisation, residents were given an understanding of their rights and obligations in the village deliberation forum, as well as the importance of deliberation as an instrument of local democracy. The focus group discussion sessions facilitated in this activity also succeeded in revealing various issues that had not previously surfaced in official forums, such as the lack of access to development information, inequality in the distribution of village assistance, and the absence of youth groups in decision-making structures. </w:t>
      </w:r>
    </w:p>
    <w:p w14:paraId="1AD7A5A6" w14:textId="0B2B99E8" w:rsidR="00836279" w:rsidRPr="00836279"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In addition, the village deliberation simulation activities carried out in this forum provided a direct training space for residents to be able to express their opinions systematically, openly, and courageously in front of village authorities. Many participants, who were initially passive, began to actively voice their ideas when they felt that the forum atmosphere was supportive and not intimidating. This shows the importance of an approach that empowers rather than merely educates, where residents are placed as subjects of development, not objects that receive decisions from above.</w:t>
      </w:r>
    </w:p>
    <w:p w14:paraId="475E788E" w14:textId="77777777" w:rsidR="00D5252F"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 xml:space="preserve">This activity also gave rise to new community leaders who were previously invisible in the formal village structure. Some participants, especially youth and women, demonstrated good facilitative capacity and issue articulation skills. This potential was then recommended by the PKM team to be developed as local facilitators in subsequent deliberation forums. The village government expressed its willingness to open a more formal space for the involvement of these groups as part of the internal reform of village deliberation governance. </w:t>
      </w:r>
    </w:p>
    <w:p w14:paraId="5DFA9D0E" w14:textId="242555EF" w:rsidR="00836279" w:rsidRPr="00836279"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 xml:space="preserve">One other important outcome is the growing collective awareness among residents about the importance of overseeing the development process from inception to implementation. The proposal to establish a horizontal inter-dusun communication forum emerged from the villagers' own initiative as a post-activity sustainability mechanism. The forum was designed as a means of exchanging </w:t>
      </w:r>
      <w:r w:rsidRPr="00836279">
        <w:rPr>
          <w:rFonts w:ascii="Times New Roman" w:eastAsia="Times New Roman" w:hAnsi="Times New Roman" w:cs="Times New Roman"/>
          <w:color w:val="231F20"/>
        </w:rPr>
        <w:lastRenderedPageBreak/>
        <w:t>information, coordinating between hamlet representatives, and monitoring the implementation of village programmes.</w:t>
      </w:r>
    </w:p>
    <w:p w14:paraId="7268146C" w14:textId="77777777" w:rsidR="00836279"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From an institutional perspective, this activity made a positive contribution in changing the village government's perspective on the ideal deliberation mechanism. In a reflective evaluation session conducted together, the village officials admitted that so far the implementation of deliberation tends to be purely procedural and has not fully presented authentic community participation. The PKM team provided a number of recommendations, such as revisions to the format of deliberation invitations, agenda development based on community aspirations, and the implementation of participatory documentation aimed at minimising the dominance of elite groups. These recommendations were well received and became references in improving the deliberation process in the future.</w:t>
      </w:r>
    </w:p>
    <w:p w14:paraId="193A89D0" w14:textId="77777777" w:rsidR="00836279" w:rsidRPr="00836279"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In general, the implementation of this PKM activity was not only able to fulfil the success indicators in terms of attendance and direct community involvement, but also succeeded in laying a strong foundation for the transformation of residents' participation patterns in village development. This activity proves that meaningful participation is not only measured by physical presence, but also by the extent to which residents are encouraged to engage reflectively, critically, and collaboratively in every stage of inclusive and equitable development.</w:t>
      </w:r>
    </w:p>
    <w:p w14:paraId="24193D93" w14:textId="0E3CF3D6" w:rsidR="001433DE" w:rsidRPr="00836279"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 xml:space="preserve"> </w:t>
      </w:r>
      <w:r w:rsidRPr="00836279">
        <w:rPr>
          <w:rFonts w:ascii="Times New Roman" w:eastAsia="Times New Roman" w:hAnsi="Times New Roman" w:cs="Times New Roman"/>
          <w:color w:val="231F20"/>
        </w:rPr>
        <w:tab/>
      </w:r>
      <w:bookmarkStart w:id="5" w:name="bookmark=id.2s8eyo1" w:colFirst="0" w:colLast="0"/>
      <w:bookmarkEnd w:id="5"/>
    </w:p>
    <w:p w14:paraId="1D3EC986" w14:textId="156D0915" w:rsidR="001433DE" w:rsidRPr="00836279" w:rsidRDefault="00000000" w:rsidP="00836279">
      <w:pPr>
        <w:pStyle w:val="ListParagraph"/>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sidRPr="00836279">
        <w:rPr>
          <w:rFonts w:ascii="Times New Roman" w:eastAsia="Times New Roman" w:hAnsi="Times New Roman" w:cs="Times New Roman"/>
          <w:b/>
          <w:color w:val="000000"/>
        </w:rPr>
        <w:t>Discussion</w:t>
      </w:r>
    </w:p>
    <w:p w14:paraId="558785FA" w14:textId="77777777" w:rsidR="00836279" w:rsidRPr="00836279"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The results of the Community Service (PKM) activities carried out in Taba Terunjam Village show that the problem of low community participation in the Village Development Meeting (Musrenbangdes) can be overcome gradually through educational, participatory, and communicative approaches. Indicators of successful problem-solving can be seen in the increase in community participation, both quantitatively-that is, a jump in community attendance in the deliberation forum from a previous average of below 30% to more than 60%-as well as qualitatively, marked by an increase in the number of residents who expressed opinions, proposed programmes, and were actively involved in group discussions and plenary sessions.</w:t>
      </w:r>
    </w:p>
    <w:p w14:paraId="4B2B997E" w14:textId="77777777" w:rsidR="00836279" w:rsidRPr="00836279"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The resolution of this problem is inseparable from the internal strength of the PKM team consisting of lecturers and students with a background in public administration, who have conceptual understanding and practical experience in community facilitation and development communication. This academic capacity became the basis for developing educational materials and designing extension methods that were not one-way, but emphasised interaction and empowerment. In addition, the active involvement of students in the communication process with residents proved effective in bridging the psychological distance between activity participants and programme implementers, thus creating an open and non-hierarchical forum atmosphere.</w:t>
      </w:r>
    </w:p>
    <w:p w14:paraId="62AC672A" w14:textId="77777777" w:rsidR="00836279" w:rsidRPr="00836279"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In terms of external opportunities, the full support of the Taba Terunjam Village Government was a determining factor in the smooth running of the activities. The village head and village officials showed a commitment to being active partners in every stage of the activities, from planning, implementation, to evaluation. The villagers' high enthusiasm for the discussion forum and their willingness to attend and express their views also created a social momentum that encouraged a collective problem-solving process. A local context that is beginning to open up to socio-political change is a strategic opportunity to build a more inclusive participation system in the future.</w:t>
      </w:r>
    </w:p>
    <w:p w14:paraId="0AFEA1C9" w14:textId="77777777" w:rsidR="00836279" w:rsidRPr="00836279"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 xml:space="preserve">However, this activity was also faced with several internal weaknesses. One of them is the limited time for implementation, which only takes place in one day of the main activity, so that the intensity of deepening the material and practice of participatory deliberation cannot be carried out </w:t>
      </w:r>
      <w:r w:rsidRPr="00836279">
        <w:rPr>
          <w:rFonts w:ascii="Times New Roman" w:eastAsia="Times New Roman" w:hAnsi="Times New Roman" w:cs="Times New Roman"/>
          <w:color w:val="231F20"/>
        </w:rPr>
        <w:lastRenderedPageBreak/>
        <w:t>thoroughly. In addition, there are still limitations in supporting facilities such as optimal presentation media and adequate documentation tools to record all the dynamics of the activity systematically.</w:t>
      </w:r>
    </w:p>
    <w:p w14:paraId="59DF3D3B" w14:textId="77777777" w:rsidR="00D5252F"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 xml:space="preserve">On the other hand, external obstacles also arise in the form of a local political culture that is still patronising and dominative. Some residents stated that they were previously reluctant to get involved because they felt that their voices were not considered in official forums. This perception poses a challenge in building new trust in the village deliberation process. In addition, the busy schedules of residents, the majority of whom work in the agricultural sector, mean that they have limited time to engage in village activities, especially when activities are not organised at flexible times. </w:t>
      </w:r>
    </w:p>
    <w:p w14:paraId="6591423B" w14:textId="0E43CB69" w:rsidR="00836279"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Nevertheless, the success of this activity in triggering initial changes is evidence that the problem of low community participation is not a stagnant condition, but can be changed through the right approach strategy, strengthening the role of local facilitators, and creating safe and inclusive participatory spaces. With the strengthening of post-activity sustainability through inter-village community communication forums and the involvement of local participation cadres, the solutions offered in this PKM are expected to continue and develop into empowered village democracy practices rooted in the community itself.</w:t>
      </w:r>
    </w:p>
    <w:p w14:paraId="1B39CAC2" w14:textId="77777777" w:rsidR="001433DE" w:rsidRDefault="001433DE">
      <w:pPr>
        <w:spacing w:after="0" w:line="276" w:lineRule="auto"/>
        <w:jc w:val="both"/>
        <w:rPr>
          <w:rFonts w:ascii="Times New Roman" w:eastAsia="Times New Roman" w:hAnsi="Times New Roman" w:cs="Times New Roman"/>
        </w:rPr>
      </w:pPr>
    </w:p>
    <w:p w14:paraId="6EB5BAF2" w14:textId="77777777" w:rsidR="001433DE" w:rsidRDefault="00000000">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Conclusions</w:t>
      </w:r>
    </w:p>
    <w:p w14:paraId="645C7D50" w14:textId="77777777" w:rsidR="00836279" w:rsidRPr="00836279" w:rsidRDefault="00836279" w:rsidP="00836279">
      <w:pPr>
        <w:spacing w:after="0" w:line="276" w:lineRule="auto"/>
        <w:ind w:firstLine="567"/>
        <w:jc w:val="both"/>
        <w:rPr>
          <w:rFonts w:ascii="Times New Roman" w:eastAsia="Times New Roman" w:hAnsi="Times New Roman" w:cs="Times New Roman"/>
        </w:rPr>
      </w:pPr>
      <w:r w:rsidRPr="00836279">
        <w:rPr>
          <w:rFonts w:ascii="Times New Roman" w:eastAsia="Times New Roman" w:hAnsi="Times New Roman" w:cs="Times New Roman"/>
        </w:rPr>
        <w:t>The Community Service Activity (PKM) themed ‘Increasing Taba Terunjam Village Community Participation in Village Development Consultation’ has successfully addressed the problem of low community involvement in the Musrenbangdes forum through an educational, participatory, and contextual approach. A significant increase in the attendance rate of the community as well as their active involvement in the discussion process and aspiration submission are the main indicators of the success of this activity. Participation is no longer understood simply as physical presence, but has evolved into a form of reflective and collaborative engagement that contributes directly to the direction of village development policies.</w:t>
      </w:r>
    </w:p>
    <w:p w14:paraId="17D92E28" w14:textId="7D501686" w:rsidR="00836279" w:rsidRDefault="00836279" w:rsidP="00836279">
      <w:pPr>
        <w:spacing w:after="0" w:line="276" w:lineRule="auto"/>
        <w:ind w:firstLine="567"/>
        <w:jc w:val="both"/>
        <w:rPr>
          <w:rFonts w:ascii="Times New Roman" w:eastAsia="Times New Roman" w:hAnsi="Times New Roman" w:cs="Times New Roman"/>
        </w:rPr>
      </w:pPr>
      <w:r w:rsidRPr="00836279">
        <w:rPr>
          <w:rFonts w:ascii="Times New Roman" w:eastAsia="Times New Roman" w:hAnsi="Times New Roman" w:cs="Times New Roman"/>
        </w:rPr>
        <w:t>This activity also opened up a more balanced dialogue space between residents and the village government, and succeeded in raising potential local figures who could become facilitators of participatory deliberations in the future. The village government responded positively by expressing commitment to changing the format and mechanism of the deliberation to be more open and inclusive. Overall, this PKM activity not only solved the technical problem of low participation, but also became the initial foundation for a paradigm shift in village development governance that is more democratic and based on community needs.</w:t>
      </w:r>
    </w:p>
    <w:p w14:paraId="5E3891F6" w14:textId="77777777" w:rsidR="00836279" w:rsidRPr="00836279" w:rsidRDefault="00836279" w:rsidP="00836279">
      <w:pPr>
        <w:spacing w:after="0" w:line="276" w:lineRule="auto"/>
        <w:ind w:firstLine="567"/>
        <w:jc w:val="both"/>
        <w:rPr>
          <w:rFonts w:ascii="Times New Roman" w:eastAsia="Times New Roman" w:hAnsi="Times New Roman" w:cs="Times New Roman"/>
        </w:rPr>
      </w:pPr>
    </w:p>
    <w:p w14:paraId="52A66F2B" w14:textId="1C871243" w:rsidR="001433DE" w:rsidRPr="00D5252F" w:rsidRDefault="00000000" w:rsidP="00D5252F">
      <w:pPr>
        <w:pStyle w:val="ListParagraph"/>
        <w:numPr>
          <w:ilvl w:val="0"/>
          <w:numId w:val="3"/>
        </w:numPr>
        <w:spacing w:after="0" w:line="480" w:lineRule="auto"/>
        <w:ind w:left="284" w:hanging="284"/>
        <w:jc w:val="both"/>
        <w:rPr>
          <w:rFonts w:ascii="Times New Roman" w:eastAsia="Times New Roman" w:hAnsi="Times New Roman" w:cs="Times New Roman"/>
          <w:b/>
        </w:rPr>
      </w:pPr>
      <w:r w:rsidRPr="00D5252F">
        <w:rPr>
          <w:rFonts w:ascii="Times New Roman" w:eastAsia="Times New Roman" w:hAnsi="Times New Roman" w:cs="Times New Roman"/>
          <w:b/>
        </w:rPr>
        <w:t>Acknowledgments</w:t>
      </w:r>
    </w:p>
    <w:p w14:paraId="1A265192" w14:textId="643CE237" w:rsidR="00836279" w:rsidRPr="00D5252F" w:rsidRDefault="00836279" w:rsidP="00D5252F">
      <w:pPr>
        <w:spacing w:after="0" w:line="276" w:lineRule="auto"/>
        <w:ind w:firstLine="567"/>
        <w:jc w:val="both"/>
        <w:rPr>
          <w:rFonts w:ascii="Times New Roman" w:eastAsia="Times New Roman" w:hAnsi="Times New Roman" w:cs="Times New Roman"/>
        </w:rPr>
      </w:pPr>
      <w:r w:rsidRPr="00836279">
        <w:rPr>
          <w:rFonts w:ascii="Times New Roman" w:eastAsia="Times New Roman" w:hAnsi="Times New Roman" w:cs="Times New Roman"/>
        </w:rPr>
        <w:t>The authors would like to express their sincere gratitude to the Head of Taba Terunjam Village and all village officials for their support and cooperation during the implementation of this study. Special thanks are also extended to the community members who actively participated and contributed valuable insights during the village development meetings.We are also deeply grateful to Universitas Dehasen Bengkulu for providing the support and resources necessary for the successful completion of this research and community service activity.Lastly, our appreciation goes to colleagues and partners whose guidance and encouragement helped enrich the process and outcomes of this initiative.</w:t>
      </w:r>
    </w:p>
    <w:p w14:paraId="4B8E82DF" w14:textId="6B759D74" w:rsidR="001433DE" w:rsidRDefault="00000000">
      <w:pPr>
        <w:spacing w:after="0" w:line="480" w:lineRule="auto"/>
        <w:jc w:val="both"/>
        <w:rPr>
          <w:rFonts w:ascii="Times New Roman" w:eastAsia="Times New Roman" w:hAnsi="Times New Roman" w:cs="Times New Roman"/>
          <w:b/>
        </w:rPr>
      </w:pPr>
      <w:r>
        <w:rPr>
          <w:rFonts w:ascii="Times New Roman" w:eastAsia="Times New Roman" w:hAnsi="Times New Roman" w:cs="Times New Roman"/>
          <w:b/>
        </w:rPr>
        <w:t>References</w:t>
      </w:r>
    </w:p>
    <w:p w14:paraId="70BB6B8B" w14:textId="77777777" w:rsidR="00FD4300" w:rsidRPr="00836279" w:rsidRDefault="00FD4300" w:rsidP="00FD4300">
      <w:pPr>
        <w:pStyle w:val="ListParagraph"/>
        <w:numPr>
          <w:ilvl w:val="0"/>
          <w:numId w:val="4"/>
        </w:numPr>
        <w:spacing w:after="0" w:line="276" w:lineRule="auto"/>
        <w:ind w:left="284" w:hanging="284"/>
        <w:jc w:val="both"/>
        <w:rPr>
          <w:rFonts w:ascii="Times New Roman" w:eastAsia="Times New Roman" w:hAnsi="Times New Roman" w:cs="Times New Roman"/>
        </w:rPr>
      </w:pPr>
      <w:r w:rsidRPr="00836279">
        <w:rPr>
          <w:rFonts w:ascii="Times New Roman" w:eastAsia="Times New Roman" w:hAnsi="Times New Roman" w:cs="Times New Roman"/>
        </w:rPr>
        <w:lastRenderedPageBreak/>
        <w:t>Dewi, S. P. K. (2024). Partisipasi Masyarakat Dalam Musyawarah Perencanaan Pembangunan Di Desa Cikembar Kecamatan Cikembar Kabupaten Sukabumi. Jurnal Praxis Idealis: Jurnal Mahasiswa Ilmu Pemerintahan, 1(1). Https://Doi.Org/10.36859/Jp.V1i1.2625</w:t>
      </w:r>
    </w:p>
    <w:p w14:paraId="6119A071" w14:textId="77777777" w:rsidR="00FD4300" w:rsidRPr="00836279" w:rsidRDefault="00FD4300" w:rsidP="00FD4300">
      <w:pPr>
        <w:pStyle w:val="ListParagraph"/>
        <w:numPr>
          <w:ilvl w:val="0"/>
          <w:numId w:val="4"/>
        </w:numPr>
        <w:spacing w:after="0" w:line="276" w:lineRule="auto"/>
        <w:ind w:left="284" w:hanging="284"/>
        <w:jc w:val="both"/>
        <w:rPr>
          <w:rFonts w:ascii="Times New Roman" w:eastAsia="Times New Roman" w:hAnsi="Times New Roman" w:cs="Times New Roman"/>
        </w:rPr>
      </w:pPr>
      <w:r w:rsidRPr="00836279">
        <w:rPr>
          <w:rFonts w:ascii="Times New Roman" w:eastAsia="Times New Roman" w:hAnsi="Times New Roman" w:cs="Times New Roman"/>
        </w:rPr>
        <w:t>Firman Perdana, M., Laksmono, B. S., Harto, S., &amp; Ismandianto. (2019). Partisipasi Masyarakat Dalam Pelaksanaan Musyawarah Rencana Pembangunan Desa Di Desa Titian Modang Kopah Kecamatan Kuantan Tengah Kabupaten Kuantan Singingi Tahun 2017. Wedana: Jurnal Kajian Pemerintahan, Politik Dan Birokrasi, 5(2). Https://Doi.Org/10.25299/Wedana.2019.Vol5(2).4317</w:t>
      </w:r>
    </w:p>
    <w:p w14:paraId="2F2CED16" w14:textId="77777777" w:rsidR="00FD4300" w:rsidRPr="00836279" w:rsidRDefault="00FD4300" w:rsidP="00FD4300">
      <w:pPr>
        <w:pStyle w:val="ListParagraph"/>
        <w:numPr>
          <w:ilvl w:val="0"/>
          <w:numId w:val="4"/>
        </w:numPr>
        <w:spacing w:after="0" w:line="276" w:lineRule="auto"/>
        <w:ind w:left="284" w:hanging="284"/>
        <w:jc w:val="both"/>
        <w:rPr>
          <w:rFonts w:ascii="Times New Roman" w:eastAsia="Times New Roman" w:hAnsi="Times New Roman" w:cs="Times New Roman"/>
        </w:rPr>
      </w:pPr>
      <w:r w:rsidRPr="00836279">
        <w:rPr>
          <w:rFonts w:ascii="Times New Roman" w:eastAsia="Times New Roman" w:hAnsi="Times New Roman" w:cs="Times New Roman"/>
        </w:rPr>
        <w:t>Mustanir, A. (2017). Partisipasi Masyarakat Dalam Musyawarah Rencana Pembangunan Di Kelurahan Kanyuara Kecamatan Watang Sidenreng Kabupaten Sidenreng Rappang. Jurnal Politik Profetik, 5(2), 247–261. Https://Doi.Org/10.24252/Profetik.V5i2a6</w:t>
      </w:r>
    </w:p>
    <w:p w14:paraId="69903D41" w14:textId="77777777" w:rsidR="00FD4300" w:rsidRPr="00836279" w:rsidRDefault="00FD4300" w:rsidP="00FD4300">
      <w:pPr>
        <w:pStyle w:val="ListParagraph"/>
        <w:numPr>
          <w:ilvl w:val="0"/>
          <w:numId w:val="4"/>
        </w:numPr>
        <w:spacing w:after="0" w:line="276" w:lineRule="auto"/>
        <w:ind w:left="284" w:hanging="284"/>
        <w:jc w:val="both"/>
        <w:rPr>
          <w:rFonts w:ascii="Times New Roman" w:eastAsia="Times New Roman" w:hAnsi="Times New Roman" w:cs="Times New Roman"/>
        </w:rPr>
      </w:pPr>
      <w:r w:rsidRPr="00836279">
        <w:rPr>
          <w:rFonts w:ascii="Times New Roman" w:eastAsia="Times New Roman" w:hAnsi="Times New Roman" w:cs="Times New Roman"/>
        </w:rPr>
        <w:t>Poespitohadi, W. (2020). Partisipasi Masyarakat Dalam Musyawarah Perencanaan Pembangunan (Musrenbang) Di Desa. Media Bina Ilmiah, 18(1). Https://Doi.Org/10.33758/Mbi.V18i1.584</w:t>
      </w:r>
    </w:p>
    <w:p w14:paraId="5D8AE5C4" w14:textId="77777777" w:rsidR="00FD4300" w:rsidRPr="00836279" w:rsidRDefault="00FD4300" w:rsidP="00FD4300">
      <w:pPr>
        <w:pStyle w:val="ListParagraph"/>
        <w:numPr>
          <w:ilvl w:val="0"/>
          <w:numId w:val="4"/>
        </w:numPr>
        <w:spacing w:after="0" w:line="276" w:lineRule="auto"/>
        <w:ind w:left="284" w:hanging="284"/>
        <w:jc w:val="both"/>
        <w:rPr>
          <w:rFonts w:ascii="Times New Roman" w:eastAsia="Times New Roman" w:hAnsi="Times New Roman" w:cs="Times New Roman"/>
        </w:rPr>
      </w:pPr>
      <w:r w:rsidRPr="00836279">
        <w:rPr>
          <w:rFonts w:ascii="Times New Roman" w:eastAsia="Times New Roman" w:hAnsi="Times New Roman" w:cs="Times New Roman"/>
        </w:rPr>
        <w:t>Tahulending, R., Kaunang, M., &amp; Sumampouw, I. (2018). Partisipasi Masyarakat Dalam Pelaksanaan Musyawarah Pembangunan (Musrenbang) Di Desa Sonsilo Kecamatan Likupang Barat. Jurnal Eksekutif, 1(1). Https://Ejournal.Unsrat.Ac.Id/Index.Php/Jurnaleksekutif/Article/View/20817</w:t>
      </w:r>
    </w:p>
    <w:p w14:paraId="349D7369" w14:textId="77777777" w:rsidR="00FD4300" w:rsidRPr="00836279" w:rsidRDefault="00FD4300" w:rsidP="00FD4300">
      <w:pPr>
        <w:pStyle w:val="ListParagraph"/>
        <w:numPr>
          <w:ilvl w:val="0"/>
          <w:numId w:val="4"/>
        </w:numPr>
        <w:spacing w:after="0" w:line="276" w:lineRule="auto"/>
        <w:ind w:left="284" w:hanging="284"/>
        <w:jc w:val="both"/>
        <w:rPr>
          <w:rFonts w:ascii="Times New Roman" w:eastAsia="Times New Roman" w:hAnsi="Times New Roman" w:cs="Times New Roman"/>
        </w:rPr>
      </w:pPr>
      <w:r w:rsidRPr="00836279">
        <w:rPr>
          <w:rFonts w:ascii="Times New Roman" w:eastAsia="Times New Roman" w:hAnsi="Times New Roman" w:cs="Times New Roman"/>
        </w:rPr>
        <w:t>Undang-Undang Republik Indonesia Nomor 6 Tahun 2014 Tentang Desa.</w:t>
      </w:r>
    </w:p>
    <w:p w14:paraId="17614981" w14:textId="77777777" w:rsidR="00FD4300" w:rsidRPr="00836279" w:rsidRDefault="00FD4300" w:rsidP="00FD4300">
      <w:pPr>
        <w:pStyle w:val="ListParagraph"/>
        <w:numPr>
          <w:ilvl w:val="0"/>
          <w:numId w:val="4"/>
        </w:numPr>
        <w:spacing w:after="0" w:line="276" w:lineRule="auto"/>
        <w:ind w:left="284" w:hanging="284"/>
        <w:jc w:val="both"/>
        <w:rPr>
          <w:rFonts w:ascii="Times New Roman" w:eastAsia="Times New Roman" w:hAnsi="Times New Roman" w:cs="Times New Roman"/>
        </w:rPr>
      </w:pPr>
      <w:r w:rsidRPr="00836279">
        <w:rPr>
          <w:rFonts w:ascii="Times New Roman" w:eastAsia="Times New Roman" w:hAnsi="Times New Roman" w:cs="Times New Roman"/>
        </w:rPr>
        <w:t>Peraturan Menteri Dalam Negeri Republik Indonesia Nomor 114 Tahun 2014 Tentang Pedoman Pembangunan Desa.</w:t>
      </w:r>
    </w:p>
    <w:p w14:paraId="36CF55B6" w14:textId="77777777" w:rsidR="001433DE" w:rsidRDefault="001433DE">
      <w:pPr>
        <w:spacing w:after="0" w:line="276" w:lineRule="auto"/>
        <w:jc w:val="both"/>
        <w:rPr>
          <w:rFonts w:ascii="Times New Roman" w:eastAsia="Times New Roman" w:hAnsi="Times New Roman" w:cs="Times New Roman"/>
        </w:rPr>
      </w:pPr>
    </w:p>
    <w:p w14:paraId="359A7202" w14:textId="4B924761" w:rsidR="001433DE" w:rsidRDefault="001433DE">
      <w:pPr>
        <w:tabs>
          <w:tab w:val="left" w:pos="3711"/>
        </w:tabs>
        <w:spacing w:after="0" w:line="480" w:lineRule="auto"/>
        <w:rPr>
          <w:rFonts w:ascii="Times New Roman" w:eastAsia="Times New Roman" w:hAnsi="Times New Roman" w:cs="Times New Roman"/>
          <w:sz w:val="24"/>
          <w:szCs w:val="24"/>
        </w:rPr>
      </w:pPr>
    </w:p>
    <w:sectPr w:rsidR="001433DE">
      <w:headerReference w:type="default" r:id="rId10"/>
      <w:footerReference w:type="default" r:id="rId11"/>
      <w:type w:val="continuous"/>
      <w:pgSz w:w="11906" w:h="16838"/>
      <w:pgMar w:top="1701" w:right="1416"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2CE61" w14:textId="77777777" w:rsidR="002273FD" w:rsidRDefault="002273FD">
      <w:pPr>
        <w:spacing w:after="0" w:line="240" w:lineRule="auto"/>
      </w:pPr>
      <w:r>
        <w:separator/>
      </w:r>
    </w:p>
  </w:endnote>
  <w:endnote w:type="continuationSeparator" w:id="0">
    <w:p w14:paraId="466D6DF9" w14:textId="77777777" w:rsidR="002273FD" w:rsidRDefault="00227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69A92C91-A0D6-4C1A-9950-47E9E41CD9D3}"/>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83B27E38-5BCC-42D5-B8AA-816AF497F6BA}"/>
    <w:embedBold r:id="rId3" w:fontKey="{893B4210-C3A9-4745-930D-FC893580F5A1}"/>
    <w:embedItalic r:id="rId4" w:fontKey="{2E47198D-A355-42DB-8A9F-D5F3D04BF80A}"/>
  </w:font>
  <w:font w:name="PT Serif">
    <w:charset w:val="00"/>
    <w:family w:val="roman"/>
    <w:pitch w:val="variable"/>
    <w:sig w:usb0="A00002EF" w:usb1="5000204B" w:usb2="00000000" w:usb3="00000000" w:csb0="00000097" w:csb1="00000000"/>
    <w:embedBold r:id="rId5" w:fontKey="{990AE485-F0EC-4453-A62F-A42A454827B0}"/>
  </w:font>
  <w:font w:name="Calibri Light">
    <w:panose1 w:val="020F0302020204030204"/>
    <w:charset w:val="00"/>
    <w:family w:val="swiss"/>
    <w:pitch w:val="variable"/>
    <w:sig w:usb0="E4002EFF" w:usb1="C200247B" w:usb2="00000009" w:usb3="00000000" w:csb0="000001FF" w:csb1="00000000"/>
    <w:embedRegular r:id="rId6" w:fontKey="{69B223CD-F2F6-4A5E-BD90-2AB0E00F6EF4}"/>
  </w:font>
  <w:font w:name="Segoe UI">
    <w:panose1 w:val="020B0502040204020203"/>
    <w:charset w:val="00"/>
    <w:family w:val="swiss"/>
    <w:pitch w:val="variable"/>
    <w:sig w:usb0="E4002EFF" w:usb1="C000E47F" w:usb2="00000009" w:usb3="00000000" w:csb0="000001FF" w:csb1="00000000"/>
    <w:embedRegular r:id="rId7" w:fontKey="{84780236-8AB5-4494-8820-365E176CF548}"/>
  </w:font>
  <w:font w:name="Georgia">
    <w:panose1 w:val="02040502050405020303"/>
    <w:charset w:val="00"/>
    <w:family w:val="roman"/>
    <w:pitch w:val="variable"/>
    <w:sig w:usb0="00000287" w:usb1="00000000" w:usb2="00000000" w:usb3="00000000" w:csb0="0000009F" w:csb1="00000000"/>
    <w:embedRegular r:id="rId8" w:fontKey="{5DE6130E-958F-4251-A0F4-38A8740EB936}"/>
    <w:embedItalic r:id="rId9" w:fontKey="{B2E503D8-08A5-4C00-A346-4BB060E98B33}"/>
  </w:font>
  <w:font w:name="Quattrocento Sans">
    <w:charset w:val="00"/>
    <w:family w:val="swiss"/>
    <w:pitch w:val="variable"/>
    <w:sig w:usb0="800000BF" w:usb1="4000005B" w:usb2="00000000" w:usb3="00000000" w:csb0="00000001" w:csb1="00000000"/>
    <w:embedRegular r:id="rId10" w:fontKey="{F66C63DB-65C1-4B2C-A353-71EA235D4686}"/>
  </w:font>
  <w:font w:name="PT Sans">
    <w:charset w:val="00"/>
    <w:family w:val="swiss"/>
    <w:pitch w:val="variable"/>
    <w:sig w:usb0="A00002EF" w:usb1="5000204B" w:usb2="00000000" w:usb3="00000000" w:csb0="00000097" w:csb1="00000000"/>
    <w:embedRegular r:id="rId11" w:fontKey="{4BB71690-1CEB-4392-BFF8-D08BDD42D27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3A642" w14:textId="77777777" w:rsidR="001433DE" w:rsidRDefault="00000000">
    <w:pPr>
      <w:pBdr>
        <w:top w:val="nil"/>
        <w:left w:val="nil"/>
        <w:bottom w:val="nil"/>
        <w:right w:val="nil"/>
        <w:between w:val="nil"/>
      </w:pBdr>
      <w:tabs>
        <w:tab w:val="center" w:pos="4513"/>
        <w:tab w:val="right" w:pos="9026"/>
      </w:tabs>
      <w:spacing w:after="0" w:line="240" w:lineRule="auto"/>
      <w:jc w:val="both"/>
      <w:rPr>
        <w:rFonts w:ascii="Quattrocento Sans" w:eastAsia="Quattrocento Sans" w:hAnsi="Quattrocento Sans" w:cs="Quattrocento Sans"/>
        <w:color w:val="000000"/>
        <w:sz w:val="16"/>
        <w:szCs w:val="16"/>
      </w:rPr>
    </w:pPr>
    <w:r>
      <w:rPr>
        <w:rFonts w:ascii="Quattrocento Sans" w:eastAsia="Quattrocento Sans" w:hAnsi="Quattrocento Sans" w:cs="Quattrocento Sans"/>
        <w:color w:val="000000"/>
        <w:sz w:val="16"/>
        <w:szCs w:val="16"/>
      </w:rPr>
      <w:t xml:space="preserve"> </w:t>
    </w:r>
    <w:r>
      <w:rPr>
        <w:noProof/>
      </w:rPr>
      <mc:AlternateContent>
        <mc:Choice Requires="wpg">
          <w:drawing>
            <wp:anchor distT="0" distB="0" distL="114300" distR="114300" simplePos="0" relativeHeight="251658240" behindDoc="0" locked="0" layoutInCell="1" hidden="0" allowOverlap="1" wp14:anchorId="5E702965" wp14:editId="0FF0F7B6">
              <wp:simplePos x="0" y="0"/>
              <wp:positionH relativeFrom="column">
                <wp:posOffset>114300</wp:posOffset>
              </wp:positionH>
              <wp:positionV relativeFrom="paragraph">
                <wp:posOffset>0</wp:posOffset>
              </wp:positionV>
              <wp:extent cx="127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5339650" y="3865725"/>
                        <a:ext cx="612457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7"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p>
  <w:p w14:paraId="460E0A51" w14:textId="77777777" w:rsidR="001433DE" w:rsidRDefault="00000000">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 xml:space="preserve">*Corresponding author: </w:t>
    </w:r>
  </w:p>
  <w:p w14:paraId="7EC4DC82" w14:textId="4EEC37A3" w:rsidR="001433DE" w:rsidRPr="00BD5B5A" w:rsidRDefault="00BD5B5A" w:rsidP="00BD5B5A">
    <w:pPr>
      <w:pBdr>
        <w:top w:val="nil"/>
        <w:left w:val="nil"/>
        <w:bottom w:val="nil"/>
        <w:right w:val="nil"/>
        <w:between w:val="nil"/>
      </w:pBdr>
      <w:tabs>
        <w:tab w:val="center" w:pos="4513"/>
        <w:tab w:val="right" w:pos="9026"/>
        <w:tab w:val="left" w:pos="6750"/>
      </w:tabs>
      <w:spacing w:after="0" w:line="240" w:lineRule="auto"/>
      <w:jc w:val="both"/>
      <w:rPr>
        <w:rFonts w:ascii="PT Sans" w:eastAsia="PT Sans" w:hAnsi="PT Sans" w:cs="PT Sans"/>
        <w:color w:val="000000"/>
        <w:sz w:val="16"/>
        <w:szCs w:val="16"/>
      </w:rPr>
    </w:pPr>
    <w:hyperlink r:id="rId2" w:history="1">
      <w:r w:rsidRPr="00791A87">
        <w:rPr>
          <w:rStyle w:val="Hyperlink"/>
          <w:rFonts w:ascii="PT Sans" w:eastAsia="PT Sans" w:hAnsi="PT Sans" w:cs="PT Sans"/>
          <w:sz w:val="16"/>
          <w:szCs w:val="16"/>
        </w:rPr>
        <w:t>evilorita@unived.ac.id</w:t>
      </w:r>
    </w:hyperlink>
    <w:r>
      <w:rPr>
        <w:rFonts w:ascii="PT Sans" w:eastAsia="PT Sans" w:hAnsi="PT Sans" w:cs="PT Sans"/>
        <w:color w:val="000000"/>
        <w:sz w:val="16"/>
        <w:szCs w:val="16"/>
      </w:rPr>
      <w:t xml:space="preserve"> </w:t>
    </w:r>
    <w:r>
      <w:rPr>
        <w:rFonts w:ascii="Times New Roman" w:eastAsia="Times New Roman" w:hAnsi="Times New Roman" w:cs="Times New Roman"/>
        <w:color w:val="00000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0CBD8" w14:textId="77777777" w:rsidR="001433DE" w:rsidRDefault="00000000">
    <w:pPr>
      <w:pBdr>
        <w:top w:val="nil"/>
        <w:left w:val="nil"/>
        <w:bottom w:val="nil"/>
        <w:right w:val="nil"/>
        <w:between w:val="nil"/>
      </w:pBdr>
      <w:tabs>
        <w:tab w:val="center" w:pos="4513"/>
        <w:tab w:val="right" w:pos="9026"/>
      </w:tabs>
      <w:spacing w:after="0" w:line="240" w:lineRule="auto"/>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BD5B5A">
      <w:rPr>
        <w:rFonts w:ascii="Calibri" w:eastAsia="Calibri" w:hAnsi="Calibri" w:cs="Calibri"/>
        <w:noProof/>
        <w:color w:val="000000"/>
      </w:rPr>
      <w:t>2</w:t>
    </w:r>
    <w:r>
      <w:rPr>
        <w:rFonts w:ascii="Calibri" w:eastAsia="Calibri" w:hAnsi="Calibri" w:cs="Calibri"/>
        <w:color w:val="000000"/>
      </w:rPr>
      <w:fldChar w:fldCharType="end"/>
    </w:r>
  </w:p>
  <w:p w14:paraId="46690399" w14:textId="77777777" w:rsidR="001433DE" w:rsidRDefault="001433DE">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3E29C" w14:textId="77777777" w:rsidR="002273FD" w:rsidRDefault="002273FD">
      <w:pPr>
        <w:spacing w:after="0" w:line="240" w:lineRule="auto"/>
      </w:pPr>
      <w:r>
        <w:separator/>
      </w:r>
    </w:p>
  </w:footnote>
  <w:footnote w:type="continuationSeparator" w:id="0">
    <w:p w14:paraId="7261DC6F" w14:textId="77777777" w:rsidR="002273FD" w:rsidRDefault="002273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99D1B" w14:textId="77777777" w:rsidR="001433DE" w:rsidRDefault="001433DE">
    <w:pPr>
      <w:spacing w:after="0" w:line="240" w:lineRule="auto"/>
      <w:rPr>
        <w:rFonts w:ascii="Calibri" w:eastAsia="Calibri" w:hAnsi="Calibri" w:cs="Calibri"/>
        <w:sz w:val="20"/>
        <w:szCs w:val="20"/>
      </w:rPr>
    </w:pPr>
  </w:p>
  <w:p w14:paraId="4D1CF0AC" w14:textId="77777777" w:rsidR="001433DE" w:rsidRDefault="00000000">
    <w:pPr>
      <w:spacing w:after="0" w:line="240" w:lineRule="auto"/>
      <w:rPr>
        <w:rFonts w:ascii="Calibri" w:eastAsia="Calibri" w:hAnsi="Calibri" w:cs="Calibri"/>
        <w:sz w:val="20"/>
        <w:szCs w:val="20"/>
      </w:rPr>
    </w:pPr>
    <w:r>
      <w:rPr>
        <w:rFonts w:ascii="Calibri" w:eastAsia="Calibri" w:hAnsi="Calibri" w:cs="Calibri"/>
        <w:sz w:val="20"/>
        <w:szCs w:val="20"/>
      </w:rPr>
      <w:t>Journal of Indonesia Berdaya</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w:t>
    </w:r>
    <w:r>
      <w:rPr>
        <w:rFonts w:ascii="Calibri" w:eastAsia="Calibri" w:hAnsi="Calibri" w:cs="Calibri"/>
        <w:sz w:val="20"/>
        <w:szCs w:val="20"/>
      </w:rPr>
      <w:tab/>
      <w:t xml:space="preserve"> Manuscript Submission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530F3" w14:textId="77777777" w:rsidR="001433DE" w:rsidRDefault="00000000">
    <w:pPr>
      <w:spacing w:after="0" w:line="240" w:lineRule="auto"/>
      <w:ind w:right="-4819"/>
      <w:rPr>
        <w:rFonts w:ascii="Calibri" w:eastAsia="Calibri" w:hAnsi="Calibri" w:cs="Calibri"/>
        <w:sz w:val="20"/>
        <w:szCs w:val="20"/>
      </w:rPr>
    </w:pPr>
    <w:r>
      <w:rPr>
        <w:rFonts w:ascii="Calibri" w:eastAsia="Calibri" w:hAnsi="Calibri" w:cs="Calibri"/>
        <w:sz w:val="20"/>
        <w:szCs w:val="20"/>
      </w:rPr>
      <w:t>Journal of Indonesia Berdaya</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Manuscript Submission Template</w:t>
    </w:r>
  </w:p>
  <w:p w14:paraId="4CC3A98D" w14:textId="77777777" w:rsidR="001433DE" w:rsidRDefault="00000000">
    <w:pPr>
      <w:tabs>
        <w:tab w:val="left" w:pos="6645"/>
      </w:tabs>
      <w:spacing w:after="0" w:line="240" w:lineRule="auto"/>
      <w:rPr>
        <w:rFonts w:ascii="Calibri" w:eastAsia="Calibri" w:hAnsi="Calibri" w:cs="Calibri"/>
        <w:sz w:val="20"/>
        <w:szCs w:val="20"/>
      </w:rPr>
    </w:pPr>
    <w:r>
      <w:rPr>
        <w:rFonts w:ascii="Calibri" w:eastAsia="Calibri" w:hAnsi="Calibri" w:cs="Calibri"/>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66361"/>
    <w:multiLevelType w:val="multilevel"/>
    <w:tmpl w:val="AA0400A4"/>
    <w:lvl w:ilvl="0">
      <w:start w:val="1"/>
      <w:numFmt w:val="decimal"/>
      <w:lvlText w:val="%1."/>
      <w:lvlJc w:val="left"/>
      <w:pPr>
        <w:ind w:left="720" w:hanging="360"/>
      </w:pPr>
    </w:lvl>
    <w:lvl w:ilvl="1">
      <w:start w:val="1"/>
      <w:numFmt w:val="decimal"/>
      <w:lvlText w:val="%1.%2."/>
      <w:lvlJc w:val="left"/>
      <w:pPr>
        <w:ind w:left="2487" w:hanging="360"/>
      </w:pPr>
    </w:lvl>
    <w:lvl w:ilvl="2">
      <w:start w:val="1"/>
      <w:numFmt w:val="decimal"/>
      <w:lvlText w:val="%1.%2.%3."/>
      <w:lvlJc w:val="left"/>
      <w:pPr>
        <w:ind w:left="720" w:hanging="720"/>
      </w:pPr>
      <w:rPr>
        <w:i/>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240055FD"/>
    <w:multiLevelType w:val="multilevel"/>
    <w:tmpl w:val="4998C0CC"/>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EA94882"/>
    <w:multiLevelType w:val="multilevel"/>
    <w:tmpl w:val="E76CBF30"/>
    <w:lvl w:ilvl="0">
      <w:start w:val="1"/>
      <w:numFmt w:val="decimal"/>
      <w:lvlText w:val="%1."/>
      <w:lvlJc w:val="left"/>
      <w:pPr>
        <w:ind w:left="720" w:hanging="360"/>
      </w:pPr>
    </w:lvl>
    <w:lvl w:ilvl="1">
      <w:start w:val="1"/>
      <w:numFmt w:val="decimal"/>
      <w:lvlText w:val="%1.%2."/>
      <w:lvlJc w:val="left"/>
      <w:pPr>
        <w:ind w:left="2487" w:hanging="360"/>
      </w:pPr>
    </w:lvl>
    <w:lvl w:ilvl="2">
      <w:start w:val="1"/>
      <w:numFmt w:val="decimal"/>
      <w:lvlText w:val="%1.%2.%3."/>
      <w:lvlJc w:val="left"/>
      <w:pPr>
        <w:ind w:left="720" w:hanging="720"/>
      </w:pPr>
      <w:rPr>
        <w:i/>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5A8B57E3"/>
    <w:multiLevelType w:val="multilevel"/>
    <w:tmpl w:val="C7AC859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1768186468">
    <w:abstractNumId w:val="1"/>
  </w:num>
  <w:num w:numId="2" w16cid:durableId="581260865">
    <w:abstractNumId w:val="3"/>
  </w:num>
  <w:num w:numId="3" w16cid:durableId="687801470">
    <w:abstractNumId w:val="2"/>
  </w:num>
  <w:num w:numId="4" w16cid:durableId="1402404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3DE"/>
    <w:rsid w:val="0005135B"/>
    <w:rsid w:val="001433DE"/>
    <w:rsid w:val="002273FD"/>
    <w:rsid w:val="00622816"/>
    <w:rsid w:val="007F032A"/>
    <w:rsid w:val="00836279"/>
    <w:rsid w:val="009679DE"/>
    <w:rsid w:val="00A113C1"/>
    <w:rsid w:val="00BD5B5A"/>
    <w:rsid w:val="00CF096F"/>
    <w:rsid w:val="00D5252F"/>
    <w:rsid w:val="00FD4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E8BBDB"/>
  <w15:docId w15:val="{10E72DB9-3FA0-49DB-B35D-CBFDB7DF7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F52"/>
    <w:rPr>
      <w:rFonts w:asciiTheme="minorHAnsi" w:eastAsiaTheme="minorHAnsi" w:hAnsiTheme="minorHAnsi" w:cstheme="minorBidi"/>
    </w:rPr>
  </w:style>
  <w:style w:type="paragraph" w:styleId="Heading1">
    <w:name w:val="heading 1"/>
    <w:basedOn w:val="Normal"/>
    <w:next w:val="Normal"/>
    <w:link w:val="Heading1Char"/>
    <w:uiPriority w:val="9"/>
    <w:qFormat/>
    <w:rsid w:val="00E72F52"/>
    <w:pPr>
      <w:keepNext/>
      <w:keepLines/>
      <w:numPr>
        <w:numId w:val="1"/>
      </w:numPr>
      <w:spacing w:before="240" w:after="0"/>
      <w:outlineLvl w:val="0"/>
    </w:pPr>
    <w:rPr>
      <w:rFonts w:ascii="PT Serif" w:eastAsiaTheme="majorEastAsia" w:hAnsi="PT Serif" w:cstheme="majorBidi"/>
      <w:b/>
      <w:color w:val="2E74B5" w:themeColor="accent1" w:themeShade="BF"/>
      <w:sz w:val="20"/>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semiHidden/>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39"/>
    <w:qFormat/>
    <w:rsid w:val="00E7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basedOn w:val="Normal"/>
    <w:uiPriority w:val="34"/>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lang w:val="en-US"/>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BD5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hyperlink" Target="mailto:evilorita@unived.ac.id"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p7g993etBw6OgTwP4Fu46iYP9w==">AMUW2mXP6ea9lRTcupLSAIEu5OcpqS9oDnkTKHqxWxlMNC2sZ2UeRf/dOxyhgwnbl+RSfPV62ITOEbC5/3NvowwUhgvh5KRuxhsSPkZfRnU9dx6wjvUNohhdbDGlTfImeNM/qnygxoHYw1TwIStowlm1QyoWHMk6Sn/Cf5ghzYcDM99Ohm/TD8ekb1I767PJ7oi/kMWCjqGU6WDT0ER62PTiTlW1u8iroA5/kyB7ylY/GWvbNs669e1fMPukAV4EXahMH8/4fGLBiY+aTIHBkfGh3dQ3X0isfFsEDdByu2m0Do31vDjgdL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3341</Words>
  <Characters>20715</Characters>
  <Application>Microsoft Office Word</Application>
  <DocSecurity>0</DocSecurity>
  <Lines>291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vettyca diana saputri</cp:lastModifiedBy>
  <cp:revision>4</cp:revision>
  <dcterms:created xsi:type="dcterms:W3CDTF">2025-05-13T08:34:00Z</dcterms:created>
  <dcterms:modified xsi:type="dcterms:W3CDTF">2025-05-14T02:21:00Z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y fmtid="{D5CDD505-2E9C-101B-9397-08002B2CF9AE}" pid="3" name="GrammarlyDocumentId">
    <vt:lpwstr>d0d40e0c-ba0f-45cf-8d52-d67d5d0cc738</vt:lpwstr>
  </property>
</Properties>
</file>